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760C0">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4</w:t>
      </w:r>
      <w:r>
        <w:rPr>
          <w:rFonts w:hint="eastAsia" w:ascii="宋体" w:hAnsi="宋体"/>
          <w:b/>
          <w:bCs/>
          <w:color w:val="000000" w:themeColor="text1"/>
          <w:sz w:val="28"/>
          <w:szCs w:val="28"/>
          <w:vertAlign w:val="superscript"/>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 xml:space="preserve"> </w:t>
      </w:r>
      <w:r>
        <w:rPr>
          <w:rFonts w:ascii="宋体" w:hAnsi="宋体"/>
          <w:b/>
          <w:bCs/>
          <w:color w:val="000000" w:themeColor="text1"/>
          <w:sz w:val="28"/>
          <w:szCs w:val="28"/>
          <w14:textFill>
            <w14:solidFill>
              <w14:schemeClr w14:val="tx1"/>
            </w14:solidFill>
          </w14:textFill>
        </w:rPr>
        <w:t xml:space="preserve"> </w:t>
      </w:r>
      <w:r>
        <w:rPr>
          <w:rFonts w:hint="eastAsia" w:ascii="宋体" w:hAnsi="宋体"/>
          <w:b/>
          <w:bCs/>
          <w:color w:val="000000" w:themeColor="text1"/>
          <w:sz w:val="28"/>
          <w:szCs w:val="28"/>
          <w14:textFill>
            <w14:solidFill>
              <w14:schemeClr w14:val="tx1"/>
            </w14:solidFill>
          </w14:textFill>
        </w:rPr>
        <w:t>藏　戏</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15835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7DC76AA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6654999B">
            <w:pPr>
              <w:pStyle w:val="2"/>
              <w:spacing w:line="360" w:lineRule="auto"/>
              <w:ind w:firstLine="480" w:firstLineChars="200"/>
              <w:rPr>
                <w:rFonts w:hAnsi="宋体" w:cs="Times New Roman"/>
                <w:sz w:val="24"/>
                <w:szCs w:val="24"/>
              </w:rPr>
            </w:pPr>
            <w:r>
              <w:rPr>
                <w:rFonts w:hAnsi="宋体" w:cs="Times New Roman"/>
                <w:sz w:val="24"/>
                <w:szCs w:val="24"/>
              </w:rPr>
              <w:t>默读课文，能说出藏戏的主要特色，了解作者是从哪几个方面介绍藏戏的。</w:t>
            </w:r>
          </w:p>
          <w:p w14:paraId="5695CE0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4C0D28D9">
            <w:pPr>
              <w:pStyle w:val="2"/>
              <w:spacing w:line="360" w:lineRule="auto"/>
              <w:ind w:firstLine="480" w:firstLineChars="200"/>
              <w:rPr>
                <w:rFonts w:hAnsi="宋体" w:cs="Times New Roman"/>
                <w:sz w:val="24"/>
                <w:szCs w:val="24"/>
              </w:rPr>
            </w:pPr>
            <w:r>
              <w:rPr>
                <w:rFonts w:hAnsi="宋体" w:cs="Times New Roman"/>
                <w:sz w:val="24"/>
                <w:szCs w:val="24"/>
              </w:rPr>
              <w:t>默读课文，能说出藏戏的主要特色。</w:t>
            </w:r>
          </w:p>
          <w:p w14:paraId="2FE4EBE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7C3B5D1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了解作者是从哪几个方面介绍藏戏的。</w:t>
            </w:r>
          </w:p>
          <w:p w14:paraId="0C6F9A4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307E0B3B">
            <w:pPr>
              <w:pStyle w:val="2"/>
              <w:spacing w:line="360" w:lineRule="auto"/>
              <w:ind w:firstLine="480" w:firstLineChars="200"/>
              <w:rPr>
                <w:rFonts w:hAnsi="宋体" w:cs="Times New Roman"/>
                <w:sz w:val="24"/>
                <w:szCs w:val="24"/>
              </w:rPr>
            </w:pPr>
            <w:r>
              <w:rPr>
                <w:rFonts w:hAnsi="宋体" w:cs="Times New Roman"/>
                <w:sz w:val="24"/>
                <w:szCs w:val="24"/>
              </w:rPr>
              <w:t>整体阅读　理清脉络　把握重点　品读感悟</w:t>
            </w:r>
          </w:p>
          <w:p w14:paraId="6E8198D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7CD0879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66EE2A2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59D32D7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课时</w:t>
            </w:r>
          </w:p>
        </w:tc>
      </w:tr>
      <w:tr w14:paraId="3FA25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6AFE7A2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79F46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51D5EAA4">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16977C88">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4C9136E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E2F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3089D42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329D8BB4">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谈话激趣，导入新课</w:t>
            </w:r>
          </w:p>
          <w:p w14:paraId="61054B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我国不仅有着多样的节日习俗，还有种类繁多、独具特色的地方戏曲艺术。据不完全统计，我国各民族地区戏曲剧种约有360多种，传统剧目数以万计。其中，京剧、越剧、黄梅戏、评剧、豫剧被称为中国五大戏曲剧种。（出示京剧、越剧、黄梅戏、评剧、豫剧五大戏曲剧种表演时的图片）</w:t>
            </w:r>
          </w:p>
          <w:p w14:paraId="23309E9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今天我们就一起来学习这璀璨戏曲艺术中的一种，也是极具传奇色彩和神秘色彩的一种——藏戏。（板书课题“藏戏”，学生齐读。）</w:t>
            </w:r>
          </w:p>
          <w:p w14:paraId="1B41DBEE">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5543550" cy="246380"/>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rcRect r="6680"/>
                          <a:stretch>
                            <a:fillRect/>
                          </a:stretch>
                        </pic:blipFill>
                        <pic:spPr>
                          <a:xfrm>
                            <a:off x="0" y="0"/>
                            <a:ext cx="5543550" cy="246380"/>
                          </a:xfrm>
                          <a:prstGeom prst="rect">
                            <a:avLst/>
                          </a:prstGeom>
                          <a:ln>
                            <a:noFill/>
                          </a:ln>
                        </pic:spPr>
                      </pic:pic>
                    </a:graphicData>
                  </a:graphic>
                </wp:inline>
              </w:drawing>
            </w:r>
          </w:p>
          <w:p w14:paraId="489F0CB5">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1.读了课文题目“藏戏”后，我想到了：__</w:t>
            </w:r>
            <w:r>
              <w:rPr>
                <w:rFonts w:hint="eastAsia" w:ascii="宋体" w:hAnsi="宋体"/>
                <w:color w:val="000000" w:themeColor="text1"/>
                <w:sz w:val="24"/>
                <w:u w:val="single"/>
                <w14:textFill>
                  <w14:solidFill>
                    <w14:schemeClr w14:val="tx1"/>
                  </w14:solidFill>
                </w14:textFill>
              </w:rPr>
              <w:t>这可能是西藏地区的戏曲。</w:t>
            </w:r>
            <w:r>
              <w:rPr>
                <w:rFonts w:hint="eastAsia" w:ascii="宋体" w:hAnsi="宋体"/>
                <w:color w:val="000000" w:themeColor="text1"/>
                <w:sz w:val="24"/>
                <w14:textFill>
                  <w14:solidFill>
                    <w14:schemeClr w14:val="tx1"/>
                  </w14:solidFill>
                </w14:textFill>
              </w:rPr>
              <w:t>__</w:t>
            </w:r>
          </w:p>
          <w:p w14:paraId="18B74E0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通过课题中的“藏”字，我们可以猜到这是哪个地方的传统戏曲呢？</w:t>
            </w:r>
          </w:p>
          <w:p w14:paraId="4B3926F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西藏。</w:t>
            </w:r>
          </w:p>
          <w:p w14:paraId="6A98324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你们看，这就是藏戏。（课件播放藏戏视频选段）藏戏诞生于雪域高原西藏，有着600多年的历史，是中国历史最悠久的剧种之一，比被誉为国粹的京剧诞生的时间还要早得多。藏戏流派众多，唱腔隽永，面具服饰精美，极具民族特色，被誉为藏文化的“活化石”。今天，就让我们走进课文去领略藏戏的风采吧！</w:t>
            </w:r>
          </w:p>
          <w:p w14:paraId="6BCD0316">
            <w:pPr>
              <w:pStyle w:val="2"/>
              <w:spacing w:line="360" w:lineRule="auto"/>
              <w:jc w:val="center"/>
              <w:rPr>
                <w:rFonts w:hAnsi="宋体" w:cs="Times New Roman"/>
                <w:b/>
                <w:sz w:val="24"/>
                <w:szCs w:val="24"/>
              </w:rPr>
            </w:pPr>
            <w:r>
              <w:rPr>
                <w:rFonts w:hAnsi="宋体" w:cs="Times New Roman"/>
                <w:b/>
                <w:sz w:val="24"/>
                <w:szCs w:val="24"/>
              </w:rPr>
              <w:t>板块二　理解词语，整体感知</w:t>
            </w:r>
          </w:p>
          <w:p w14:paraId="32FC5F8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这是一篇略读课文，请同学们自由阅读课题下的学习提示，画出本课的自读要求。</w:t>
            </w:r>
          </w:p>
          <w:p w14:paraId="16E96D53">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这篇课文给我们提出了哪几个学习任务呢？</w:t>
            </w:r>
          </w:p>
          <w:p w14:paraId="1413D43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两个，一个是说说藏戏有什么特色，另一个是说说作者是从哪几个方面写藏戏的。</w:t>
            </w:r>
          </w:p>
          <w:p w14:paraId="57C1B56C">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下面就请同学们带着这两个问题默读课文，边读边画出文中你不理解的词语，利用工具书、课前搜集的资料或者联系上下文理解词语的意思，然后我们一起来交流。好，现在开始默读，注意默读要有一定的速度。（生默读）</w:t>
            </w:r>
          </w:p>
          <w:p w14:paraId="3D59CFD8">
            <w:pPr>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这些词语你们会读吗？（指名学生领读词语）“山南琼结”是什么意思？</w:t>
            </w:r>
          </w:p>
          <w:p w14:paraId="3987629E">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r>
              <w:rPr>
                <w:rFonts w:ascii="宋体" w:hAnsi="宋体"/>
                <w:color w:val="000000" w:themeColor="text1"/>
                <w:sz w:val="24"/>
                <w14:textFill>
                  <w14:solidFill>
                    <w14:schemeClr w14:val="tx1"/>
                  </w14:solidFill>
                </w14:textFill>
              </w:rPr>
              <w:t>雅鲁藏布江　一无所有　山南琼结　雪域高原　身无分文　开山鼻祖</w:t>
            </w:r>
          </w:p>
          <w:p w14:paraId="19DF1660">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一鼓一钹　别无所求　地广人稀　随心所欲　优哉游哉　师传身授</w:t>
            </w:r>
          </w:p>
          <w:p w14:paraId="1E6A259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是个地名，指山南市琼结县，位于西藏自治区南部、雅鲁藏布江中游南岸的琼结河谷地。</w:t>
            </w:r>
          </w:p>
          <w:p w14:paraId="6930B49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看来你预习得很充分，课前通过查阅资料知道了这个词是指西藏的一个地名，这里是雅鲁藏布江流经的地方，也被称作——</w:t>
            </w:r>
          </w:p>
          <w:p w14:paraId="0C8E1C6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雪域高原。</w:t>
            </w:r>
          </w:p>
          <w:p w14:paraId="42E3FFF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这就是藏戏诞生的地方。</w:t>
            </w:r>
          </w:p>
          <w:p w14:paraId="3FE0A10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第一行中的“身无分文”和“一无所有”是一对——</w:t>
            </w:r>
          </w:p>
          <w:p w14:paraId="278F00C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近义词。</w:t>
            </w:r>
          </w:p>
          <w:p w14:paraId="341EC89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这两个词在课文中是形容谁的呢？</w:t>
            </w:r>
          </w:p>
          <w:p w14:paraId="1C00FB1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西藏僧人唐东杰布。</w:t>
            </w:r>
          </w:p>
          <w:p w14:paraId="6CADF68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他就是藏戏的——</w:t>
            </w:r>
          </w:p>
          <w:p w14:paraId="68D769F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开山鼻祖。</w:t>
            </w:r>
          </w:p>
          <w:p w14:paraId="2B09092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所以你知道“开山鼻祖”是什么意思了吗？</w:t>
            </w:r>
          </w:p>
          <w:p w14:paraId="14B1615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就是创始人的意思。</w:t>
            </w:r>
          </w:p>
          <w:p w14:paraId="73EFC1E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很好。“地广人稀”是形容西藏地区的生活环境的，我们知道，地广人稀的地方生活节奏一般都非常——</w:t>
            </w:r>
          </w:p>
          <w:p w14:paraId="4FEDEA4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慢。</w:t>
            </w:r>
          </w:p>
          <w:p w14:paraId="75422E5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生活节奏慢就意味着不用赶时间，没有压力。正因为如此，藏戏演员演出时可以随意发挥，不断重复，观众也可以边吃边玩边看戏，这就叫作——</w:t>
            </w:r>
          </w:p>
          <w:p w14:paraId="06F98DF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随心所欲，优哉游哉。</w:t>
            </w:r>
          </w:p>
          <w:p w14:paraId="2EC6F63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再看藏戏的演出形式，有舞台吗？有幕布吗？有灯光吗？</w:t>
            </w:r>
          </w:p>
          <w:p w14:paraId="21E1A25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没有。</w:t>
            </w:r>
          </w:p>
          <w:p w14:paraId="681E643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所有的道具就是——</w:t>
            </w:r>
          </w:p>
          <w:p w14:paraId="70F8303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一鼓一钹。</w:t>
            </w:r>
          </w:p>
          <w:p w14:paraId="7C5E35F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钹和鼓并列在一起，我们可以猜到，“钹”也是一种——</w:t>
            </w:r>
          </w:p>
          <w:p w14:paraId="454A624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和鼓一样的打击乐器。</w:t>
            </w:r>
          </w:p>
          <w:p w14:paraId="51A86A1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很好。联系上下文猜测也是一种理解词语意思的好方法，瞧，这就是钹。（课件出示钹的图片）藏戏演员就是这样，他们——</w:t>
            </w:r>
          </w:p>
          <w:p w14:paraId="44FB1F0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别无所求。</w:t>
            </w:r>
          </w:p>
          <w:p w14:paraId="70E2BA4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仅靠着一鼓一钹，面对无数喜欢他们的观众，将藏戏艺术一代代地——</w:t>
            </w:r>
          </w:p>
          <w:p w14:paraId="4511AC2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师传身授下去。</w:t>
            </w:r>
          </w:p>
          <w:p w14:paraId="52065D5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“师传身授”是什么意思？</w:t>
            </w:r>
          </w:p>
          <w:p w14:paraId="593882A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就是传授的意思。</w:t>
            </w:r>
          </w:p>
          <w:p w14:paraId="67F9915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很好！我们一起来读一读这些词语。（生齐读）</w:t>
            </w:r>
          </w:p>
          <w:p w14:paraId="6C49B1C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这些词语都理解了吗？我们来检测一下。</w:t>
            </w:r>
          </w:p>
          <w:p w14:paraId="62365D89">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5543550" cy="246380"/>
                  <wp:effectExtent l="0" t="0" r="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rcRect r="6680"/>
                          <a:stretch>
                            <a:fillRect/>
                          </a:stretch>
                        </pic:blipFill>
                        <pic:spPr>
                          <a:xfrm>
                            <a:off x="0" y="0"/>
                            <a:ext cx="5543550" cy="246380"/>
                          </a:xfrm>
                          <a:prstGeom prst="rect">
                            <a:avLst/>
                          </a:prstGeom>
                          <a:ln>
                            <a:noFill/>
                          </a:ln>
                        </pic:spPr>
                      </pic:pic>
                    </a:graphicData>
                  </a:graphic>
                </wp:inline>
              </w:drawing>
            </w:r>
          </w:p>
          <w:p w14:paraId="5AAF31CD">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3.读一读下面的词语，注意读准字音，然后选择合适的词语填在后面的括号中。</w:t>
            </w:r>
          </w:p>
          <w:p w14:paraId="0E1667EF">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雅鲁藏布江　一无所有　山南琼结　雪域高原　身无分文　开山鼻祖</w:t>
            </w:r>
          </w:p>
          <w:p w14:paraId="0C9DE2D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一鼓一钹　别无所求　地广人稀　随心所欲　优哉游哉　师传身授</w:t>
            </w:r>
          </w:p>
          <w:p w14:paraId="2015041D">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（1）吴天一院士荣获“感动中国2021年度人物”，他是“藏族适应生理学”的（ 开山鼻祖 ），用毕生精力守护着（ 雪域高原 ）人民的健康。</w:t>
            </w:r>
          </w:p>
          <w:p w14:paraId="614B9F7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（2）尽管我（ 身无分文 ）、（ 一无所有 ），但是我拥有对未来的美好憧憬和期待。</w:t>
            </w:r>
          </w:p>
          <w:p w14:paraId="2D320E72">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（3）内蒙古草原（ 地广人稀 ），是最好的天然牧场；牧民们骑马、放羊，过着（ 优哉游哉 ）的生活。</w:t>
            </w:r>
          </w:p>
          <w:p w14:paraId="7461004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（4）爷爷退休了，对生活（ 别无所求 ），只想（ 随心所欲 ）做自己想做的事。</w:t>
            </w:r>
          </w:p>
          <w:p w14:paraId="4855A8D2">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（5）以前的手艺，都是通过（ 师传身授 ）流传下来的。</w:t>
            </w:r>
          </w:p>
          <w:p w14:paraId="193A5D21">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　 （指名回答，教师相机出示答案并指导。）</w:t>
            </w:r>
          </w:p>
          <w:p w14:paraId="6F13707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难理解的词语梳理完了，下面让我们再回到课文，回到学习提示中的那两个问题。请同学们快速浏览课文，结合课中导学单中的填空练习，思考：作者是从哪几个方面来写藏戏的？（出示课中导学单活动一，同桌间交流，指名回答。）</w:t>
            </w:r>
          </w:p>
          <w:p w14:paraId="57CF396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作者是从藏戏的形成和艺术特色两个方面来写藏戏的。（板书：形成　艺术特色）</w:t>
            </w:r>
          </w:p>
          <w:p w14:paraId="43DA4E6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课文中哪些自然段讲了藏戏的形成？哪些自然段介绍了藏戏的艺术特色？</w:t>
            </w:r>
          </w:p>
          <w:p w14:paraId="28FFB14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第4～7自然段讲了藏戏的形成，第8～17自然段介绍了藏戏的艺术特色。</w:t>
            </w:r>
          </w:p>
          <w:p w14:paraId="74407FB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那第1～3自然段写了什么呢？</w:t>
            </w:r>
          </w:p>
          <w:p w14:paraId="696FFBD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第1～3自然段也是介绍的藏戏的艺术特色。</w:t>
            </w:r>
          </w:p>
          <w:p w14:paraId="081D9D8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 xml:space="preserve"> 既然都是介绍藏戏的艺术特色，为什么要分两个部分来写？是不是重复了？开头的三段话是否可以删掉？</w:t>
            </w:r>
          </w:p>
          <w:p w14:paraId="733235B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不重复。第1～3自然段是概括介绍，第8～17自然段是具体介绍。</w:t>
            </w:r>
          </w:p>
          <w:p w14:paraId="684475B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你真聪明！开头一般是总体概括，后面再具体介绍，这就是先什么后什么？</w:t>
            </w:r>
          </w:p>
          <w:p w14:paraId="2565CB0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先总后分。</w:t>
            </w:r>
          </w:p>
          <w:p w14:paraId="4D2A663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 xml:space="preserve"> 那么，聪明的你们告诉我，最后一个自然段又写了什么呢？</w:t>
            </w:r>
          </w:p>
          <w:p w14:paraId="6EA03F4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最后一个自然段总结全文，总结了藏戏的传承和发展。</w:t>
            </w:r>
          </w:p>
          <w:p w14:paraId="14A90EF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非常好！所以这篇文章实际是按照“总—分—总”的结构形式，从形成和艺术特色两个方面详细介绍了藏戏，而对藏戏的传承和发展则用简单的一句话来概括。</w:t>
            </w:r>
          </w:p>
          <w:p w14:paraId="34B0EBB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很好！那么活动一你们知道该怎么填了吗？（指名回答，出示答案核对。）</w:t>
            </w:r>
          </w:p>
          <w:p w14:paraId="02504D63">
            <w:pPr>
              <w:spacing w:line="360" w:lineRule="auto"/>
              <w:jc w:val="left"/>
              <w:rPr>
                <w:rFonts w:ascii="宋体" w:hAnsi="宋体"/>
                <w:b/>
                <w:bCs/>
                <w:color w:val="000000" w:themeColor="text1"/>
                <w:sz w:val="24"/>
                <w14:textFill>
                  <w14:solidFill>
                    <w14:schemeClr w14:val="tx1"/>
                  </w14:solidFill>
                </w14:textFill>
              </w:rPr>
            </w:pPr>
          </w:p>
          <w:p w14:paraId="5DB58A6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朗读品味，了解藏戏的特点</w:t>
            </w:r>
          </w:p>
          <w:p w14:paraId="188AAD0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刚才我们一起梳理了文章的脉络，知道作者是从藏戏的形成和艺术特色两个方面来详细介绍藏戏的。首先让我们一起来看看藏戏有哪些特点。请同学们自由朗读课文前三个自然段，思考下面的问题：</w:t>
            </w:r>
          </w:p>
          <w:p w14:paraId="1B1C540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28CFBD99">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活动二：按要求填空，初步把握藏戏的特点。</w:t>
            </w:r>
          </w:p>
          <w:p w14:paraId="44A96D80">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世界上还有几个剧种是戴着面具演出的呢？</w:t>
            </w:r>
          </w:p>
          <w:p w14:paraId="32DA95F3">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世界上还有几个剧种在演出时是没有舞台的呢？</w:t>
            </w:r>
          </w:p>
          <w:p w14:paraId="06B76BF0">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世界上还有几个剧种一部戏可以演出三五天还没有结束的呢？</w:t>
            </w:r>
          </w:p>
          <w:p w14:paraId="45B495CD">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1.从这三段话我读出了藏戏的三个突出特点：__</w:t>
            </w:r>
            <w:r>
              <w:rPr>
                <w:rFonts w:ascii="宋体" w:hAnsi="宋体"/>
                <w:color w:val="000000" w:themeColor="text1"/>
                <w:sz w:val="24"/>
                <w:u w:val="single"/>
                <w14:textFill>
                  <w14:solidFill>
                    <w14:schemeClr w14:val="tx1"/>
                  </w14:solidFill>
                </w14:textFill>
              </w:rPr>
              <w:t>戴着面具演出</w:t>
            </w:r>
            <w:r>
              <w:rPr>
                <w:rFonts w:ascii="宋体" w:hAnsi="宋体"/>
                <w:color w:val="000000" w:themeColor="text1"/>
                <w:sz w:val="24"/>
                <w14:textFill>
                  <w14:solidFill>
                    <w14:schemeClr w14:val="tx1"/>
                  </w14:solidFill>
                </w14:textFill>
              </w:rPr>
              <w:t>__、__</w:t>
            </w:r>
            <w:r>
              <w:rPr>
                <w:rFonts w:ascii="宋体" w:hAnsi="宋体"/>
                <w:color w:val="000000" w:themeColor="text1"/>
                <w:sz w:val="24"/>
                <w:u w:val="single"/>
                <w14:textFill>
                  <w14:solidFill>
                    <w14:schemeClr w14:val="tx1"/>
                  </w14:solidFill>
                </w14:textFill>
              </w:rPr>
              <w:t>演出时没有舞台_</w:t>
            </w:r>
            <w:r>
              <w:rPr>
                <w:rFonts w:ascii="宋体" w:hAnsi="宋体"/>
                <w:color w:val="000000" w:themeColor="text1"/>
                <w:sz w:val="24"/>
                <w14:textFill>
                  <w14:solidFill>
                    <w14:schemeClr w14:val="tx1"/>
                  </w14:solidFill>
                </w14:textFill>
              </w:rPr>
              <w:t>_、__</w:t>
            </w:r>
            <w:r>
              <w:rPr>
                <w:rFonts w:ascii="宋体" w:hAnsi="宋体"/>
                <w:color w:val="000000" w:themeColor="text1"/>
                <w:sz w:val="24"/>
                <w:u w:val="single"/>
                <w14:textFill>
                  <w14:solidFill>
                    <w14:schemeClr w14:val="tx1"/>
                  </w14:solidFill>
                </w14:textFill>
              </w:rPr>
              <w:t>一部戏可以演出三五天</w:t>
            </w:r>
            <w:r>
              <w:rPr>
                <w:rFonts w:ascii="宋体" w:hAnsi="宋体"/>
                <w:color w:val="000000" w:themeColor="text1"/>
                <w:sz w:val="24"/>
                <w14:textFill>
                  <w14:solidFill>
                    <w14:schemeClr w14:val="tx1"/>
                  </w14:solidFill>
                </w14:textFill>
              </w:rPr>
              <w:t>__。</w:t>
            </w:r>
          </w:p>
          <w:p w14:paraId="3BE3BB7B">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2.我还发现这三段话连用三个问句构成了__</w:t>
            </w:r>
            <w:r>
              <w:rPr>
                <w:rFonts w:ascii="宋体" w:hAnsi="宋体"/>
                <w:color w:val="000000" w:themeColor="text1"/>
                <w:sz w:val="24"/>
                <w:u w:val="single"/>
                <w14:textFill>
                  <w14:solidFill>
                    <w14:schemeClr w14:val="tx1"/>
                  </w14:solidFill>
                </w14:textFill>
              </w:rPr>
              <w:t>排比</w:t>
            </w:r>
            <w:r>
              <w:rPr>
                <w:rFonts w:ascii="宋体" w:hAnsi="宋体"/>
                <w:color w:val="000000" w:themeColor="text1"/>
                <w:sz w:val="24"/>
                <w14:textFill>
                  <w14:solidFill>
                    <w14:schemeClr w14:val="tx1"/>
                  </w14:solidFill>
                </w14:textFill>
              </w:rPr>
              <w:t>__句，这样写的好处是：__</w:t>
            </w:r>
            <w:r>
              <w:rPr>
                <w:rFonts w:ascii="宋体" w:hAnsi="宋体"/>
                <w:color w:val="000000" w:themeColor="text1"/>
                <w:sz w:val="24"/>
                <w:u w:val="single"/>
                <w14:textFill>
                  <w14:solidFill>
                    <w14:schemeClr w14:val="tx1"/>
                  </w14:solidFill>
                </w14:textFill>
              </w:rPr>
              <w:t>总领全文，激起读者的好奇，引出下文，既突出了藏戏的特点，又表现出浓浓的民族自豪感_</w:t>
            </w:r>
            <w:r>
              <w:rPr>
                <w:rFonts w:ascii="宋体" w:hAnsi="宋体"/>
                <w:color w:val="000000" w:themeColor="text1"/>
                <w:sz w:val="24"/>
                <w14:textFill>
                  <w14:solidFill>
                    <w14:schemeClr w14:val="tx1"/>
                  </w14:solidFill>
                </w14:textFill>
              </w:rPr>
              <w:t>_。</w:t>
            </w:r>
          </w:p>
          <w:p w14:paraId="2A9C27A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从这三段话我读出了藏戏有三个突出特点：戴着面具演出、演出时没有舞台、一部戏可以演出三五天。我还发现这三段话连用三个问句构成了排比句。这样写语气更加强烈，更有气势，更能突出藏戏的特点。反问的句式更能激发读者的好奇心，吸引他们的阅读兴趣。连用三个“还有几个”，说明没有一个剧种像藏戏这样，更体现了藏戏的了不起，洋溢着浓浓的民族自豪感！</w:t>
            </w:r>
          </w:p>
          <w:p w14:paraId="43A97CC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啊，作者以连续的三个问句开篇，总领全文，激起读者的好奇，引出下文，既突出了藏戏的特点，又表现出浓浓的民族自豪感。让我们带着这种感情再读这三段话。（学生自由读，指名读，全班齐读，要求读出自豪感。）</w:t>
            </w:r>
          </w:p>
          <w:p w14:paraId="5824624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文章开头这三段话概括介绍了藏戏的三个特点。（板书：戴着面具演出　演出时没有舞台　一部戏可以演出三五天）下面让我们进入到课文的第8～17自然段，去具体看看这三个特点是怎样的吧！请同学们默读课文第8～17自然段，找到描写这三个特点的具体语句，以小组合作的方式完成下列学习单。</w:t>
            </w:r>
          </w:p>
          <w:p w14:paraId="06DA963C">
            <w:pPr>
              <w:pStyle w:val="2"/>
              <w:spacing w:line="360" w:lineRule="auto"/>
              <w:rPr>
                <w:rFonts w:hAnsi="宋体" w:cs="Times New Roman"/>
                <w:sz w:val="24"/>
                <w:szCs w:val="24"/>
              </w:rPr>
            </w:pPr>
            <w:r>
              <w:drawing>
                <wp:inline distT="0" distB="0" distL="0" distR="0">
                  <wp:extent cx="5562600" cy="2565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0AC232DF">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活动三：小组合作学习，具体了解藏戏的特点。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3"/>
              <w:gridCol w:w="6832"/>
            </w:tblGrid>
            <w:tr w14:paraId="1DE7E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tcPr>
                <w:p w14:paraId="57265BE5">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特色</w:t>
                  </w:r>
                </w:p>
              </w:tc>
              <w:tc>
                <w:tcPr>
                  <w:tcW w:w="6832" w:type="dxa"/>
                </w:tcPr>
                <w:p w14:paraId="75A03395">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具体介绍</w:t>
                  </w:r>
                </w:p>
              </w:tc>
            </w:tr>
            <w:tr w14:paraId="6A74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tcPr>
                <w:p w14:paraId="63CA728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戴着面具演出</w:t>
                  </w:r>
                </w:p>
              </w:tc>
              <w:tc>
                <w:tcPr>
                  <w:tcW w:w="6832" w:type="dxa"/>
                </w:tcPr>
                <w:p w14:paraId="6899AC51">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第8～14自然段用举例的方式介绍不同身份的人物所戴的面具颜色及其象征意义。</w:t>
                  </w:r>
                </w:p>
              </w:tc>
            </w:tr>
            <w:tr w14:paraId="06B9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tcPr>
                <w:p w14:paraId="14651476">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演出时没有舞台</w:t>
                  </w:r>
                </w:p>
              </w:tc>
              <w:tc>
                <w:tcPr>
                  <w:tcW w:w="6832" w:type="dxa"/>
                </w:tcPr>
                <w:p w14:paraId="04CEA5BF">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第15～16自然段描绘了藏戏舞台简单、剧情靠说唱来描述等特点。</w:t>
                  </w:r>
                </w:p>
              </w:tc>
            </w:tr>
            <w:tr w14:paraId="33F0C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tcPr>
                <w:p w14:paraId="0E58D0D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一部戏可以演出三五天</w:t>
                  </w:r>
                </w:p>
              </w:tc>
              <w:tc>
                <w:tcPr>
                  <w:tcW w:w="6832" w:type="dxa"/>
                </w:tcPr>
                <w:p w14:paraId="0050B9B3">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第17自然段主要介绍西藏地区地广人稀，生活节奏缓慢，从而导致藏戏情节可以任意拖延，唱腔、舞蹈动作可以随意发挥、再三重复，时间可以拖至三五天。</w:t>
                  </w:r>
                </w:p>
              </w:tc>
            </w:tr>
          </w:tbl>
          <w:p w14:paraId="37727D3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藏戏中的面具让你联想到京剧中的什么？</w:t>
            </w:r>
          </w:p>
          <w:p w14:paraId="3E3AD3F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京剧中的脸谱。</w:t>
            </w:r>
          </w:p>
          <w:p w14:paraId="71E37A6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京剧脸谱是怎样的？</w:t>
            </w:r>
          </w:p>
          <w:p w14:paraId="3EDBDE6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也是不同颜色代表不同身份和性格。</w:t>
            </w:r>
          </w:p>
          <w:p w14:paraId="13EF90D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你们知道哪些有代表性的京剧人物脸谱吗？（课件出示有代表性的京剧人物脸谱图，配乐播放歌曲《说唱脸谱》。）</w:t>
            </w:r>
          </w:p>
          <w:p w14:paraId="6894AB9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红脸代表忠义耿直，有血性，比如关公。黑脸代表刚正不阿、不苟言笑，比如包拯。黑脸还代表威武有力、粗鲁豪爽，比如张飞。白脸代表奸诈多疑，一般是反面人物，比如曹操、秦桧。黄脸代表勇猛暴躁，比如典韦。蓝脸代表刚直，桀骜不驯，比如窦尔敦。</w:t>
            </w:r>
          </w:p>
          <w:p w14:paraId="2A87F37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看来艺术都是相通的，藏戏和京剧一样，都是通过不同颜色来区分人物的身份和性格。但它们也有区别，京剧脸谱是直接画在脸上的，而藏戏呢？</w:t>
            </w:r>
          </w:p>
          <w:p w14:paraId="3C93B86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是戴面具。感觉更方便一点，可以随时摘下随时戴上，不用洗脸。</w:t>
            </w:r>
          </w:p>
          <w:p w14:paraId="0A162CA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你的想法真有意思！来，带着我们的理解，一起再来读读课文中描写藏戏面具的部分。（生齐读第8～14自然段）</w:t>
            </w:r>
          </w:p>
          <w:p w14:paraId="0FBB9EF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藏戏不仅面具有趣，更特别的是演出时竟然没有舞台。（课件出示课文第15自然段）请同学们自由读这段话，说说你体会到了什么。（生读）</w:t>
            </w:r>
          </w:p>
          <w:p w14:paraId="2BCF431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我体会到藏戏演出的舞台非常简陋，什么都没有，只有一鼓一钹，艺人们没有舞台，广阔的大自然就是他们的舞台。</w:t>
            </w:r>
          </w:p>
          <w:p w14:paraId="494D10B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不仅如此，最神奇的是，他们一出戏竟然能演个三五天。谁来说说，为什么会这样？（课件出示课文第17自然段）</w:t>
            </w:r>
          </w:p>
          <w:p w14:paraId="2C86E3A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因为西藏地广人稀，生活节奏比较缓慢。表现在藏戏中，情节可以任意拖延，艺人们的唱腔、舞蹈动作可以随意发挥，一段戏可以一而再、再而三地重复，观众也在吃喝玩耍中看戏，双方随心所欲，优哉游哉，因此一出戏可以演个三五天。</w:t>
            </w:r>
          </w:p>
          <w:p w14:paraId="4DD8F0E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这就是藏戏，戴着面具演出、演出时没有舞台、一部戏要演个三五天，多么神奇呀！</w:t>
            </w:r>
          </w:p>
          <w:p w14:paraId="169DFF2C">
            <w:pPr>
              <w:pStyle w:val="2"/>
              <w:spacing w:line="360" w:lineRule="auto"/>
              <w:jc w:val="center"/>
              <w:rPr>
                <w:rFonts w:hAnsi="宋体" w:cs="Times New Roman"/>
                <w:b/>
                <w:sz w:val="24"/>
                <w:szCs w:val="24"/>
              </w:rPr>
            </w:pPr>
            <w:r>
              <w:rPr>
                <w:rFonts w:hAnsi="宋体" w:cs="Times New Roman"/>
                <w:b/>
                <w:sz w:val="24"/>
                <w:szCs w:val="24"/>
              </w:rPr>
              <w:t>板块四　自主研读，了解藏戏的形成过程</w:t>
            </w:r>
          </w:p>
          <w:p w14:paraId="4652F22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这么神奇又有趣的藏戏，它是怎么产生的呢？请同学们自由朗读课文第4～7自然段，思考藏戏是怎样形成的，试着用自己的话说一说。</w:t>
            </w:r>
          </w:p>
          <w:p w14:paraId="771FD03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唐东杰布为架桥造福百姓，与能歌善舞的七兄妹组成了西藏的第一个藏戏班子，用歌舞说唱的形式，表演历史故事和传说，劝人行善积德，出钱出力，共同修桥。随着铁索桥一座接着一座地架起来，藏戏的种子也随之撒遍了雪域高原。唐东杰布就这样成了藏戏的开山鼻祖。</w:t>
            </w:r>
          </w:p>
          <w:p w14:paraId="1A832A2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这可真是一个充满传奇色彩的故事啊！读了这个故事，你有什么感受呢？</w:t>
            </w:r>
          </w:p>
          <w:p w14:paraId="34F56DF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我觉得唐东杰布非常勇敢，雅鲁藏布江的环境那么凶险，他却一点儿都不害怕；他一无所有、被人嘲笑，却仍然一心想为百姓造福，很有奉献精神。</w:t>
            </w:r>
          </w:p>
          <w:p w14:paraId="46896FD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是啊！年轻的僧人毅然抵抗凶险的自然环境，许下宏愿终建成铁桥，造福百姓，这是一个以弱抗强、为民造福的传奇故事！（板书：为民造福）</w:t>
            </w:r>
          </w:p>
          <w:p w14:paraId="2195027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唐东杰布他们一开始只是想筹钱建桥，没想到最后却开创了藏戏，我觉得很神奇，好像无心插柳柳成荫。</w:t>
            </w:r>
          </w:p>
          <w:p w14:paraId="6C8B99B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是啊！伟大的艺术往往都出自偶然。从贫苦僧人到藏戏的开山鼻祖，唐东杰布创造了一个了不起的艺术的传奇。（板书：开创藏戏）</w:t>
            </w:r>
          </w:p>
          <w:p w14:paraId="4295EF0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把你的感受带入文中，有感情地读一读吧。（全班齐读第4～7自然段）</w:t>
            </w:r>
          </w:p>
          <w:p w14:paraId="0D00CE9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这个传奇的故事深深扎根在藏民的心中，唐东杰布不愧为藏戏的开山鼻祖。时至今日，每一个藏戏剧团都还会供奉他的画像。（课件出示唐东杰布画像）他接受着一代又一代艺人的膜拜，也让我们顿生敬意。</w:t>
            </w:r>
          </w:p>
          <w:p w14:paraId="730357C4">
            <w:pPr>
              <w:pStyle w:val="2"/>
              <w:spacing w:line="360" w:lineRule="auto"/>
              <w:jc w:val="center"/>
              <w:rPr>
                <w:rFonts w:hAnsi="宋体" w:cs="Times New Roman"/>
                <w:b/>
                <w:sz w:val="24"/>
                <w:szCs w:val="24"/>
              </w:rPr>
            </w:pPr>
            <w:r>
              <w:rPr>
                <w:rFonts w:hAnsi="宋体" w:cs="Times New Roman"/>
                <w:b/>
                <w:sz w:val="24"/>
                <w:szCs w:val="24"/>
              </w:rPr>
              <w:t>板块五　拓展提升，课堂小结</w:t>
            </w:r>
          </w:p>
          <w:p w14:paraId="624AE84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有着数百年历史的藏戏，在经历了一次又一次的风雨洗礼之后，时至今日，犹如一朵盛开在青藏高原上的雪莲花，深深扎根在西藏人民心灵深处。藏族人民通过它歌颂生活中的真、善、美，鞭挞现实生活中的假、恶、丑。可以说，它是藏族群众的精神寄托，是高原儿女创造的一个艺术珍品。除了藏戏，中华民族还有着相当数量的独具特色的地方戏曲剧种。课后，请同学们任意选取一种地方戏，结合课后拓学单上提示的问题，通过查阅资料、访问、请教师长等方式，了解这种戏曲，并向同学介绍。（出示课后拓学单）</w:t>
            </w:r>
          </w:p>
          <w:p w14:paraId="6EBD98D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7A9CB6DB">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7030"/>
                  <wp:effectExtent l="0" t="0" r="9525" b="127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1"/>
                          <a:stretch>
                            <a:fillRect/>
                          </a:stretch>
                        </pic:blipFill>
                        <pic:spPr>
                          <a:xfrm>
                            <a:off x="0" y="0"/>
                            <a:ext cx="5534025" cy="1637030"/>
                          </a:xfrm>
                          <a:prstGeom prst="rect">
                            <a:avLst/>
                          </a:prstGeom>
                        </pic:spPr>
                      </pic:pic>
                    </a:graphicData>
                  </a:graphic>
                </wp:inline>
              </w:drawing>
            </w:r>
          </w:p>
          <w:p w14:paraId="691FF873">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0A8B4E97">
            <w:pPr>
              <w:pStyle w:val="2"/>
              <w:spacing w:line="360" w:lineRule="auto"/>
              <w:ind w:firstLine="480" w:firstLineChars="200"/>
              <w:rPr>
                <w:rFonts w:hAnsi="宋体" w:cs="Times New Roman"/>
                <w:sz w:val="24"/>
                <w:szCs w:val="24"/>
              </w:rPr>
            </w:pPr>
            <w:r>
              <w:rPr>
                <w:rFonts w:hAnsi="宋体" w:cs="Times New Roman"/>
                <w:sz w:val="24"/>
                <w:szCs w:val="24"/>
              </w:rPr>
              <w:t>藏戏的艺术特色是这篇略读课文的重点内容，也是我教学活动的主要环节。在教学过程中，我首先通过小组合作完成填空和表格，引导学生找到藏戏的三个特点及其在后文中对应的具体描写，体会作者前后呼应的写作方法。然后逐一击破，引导学生在朗读品味、对比想象中分别感受藏戏的三大特色。最后通过师生合作朗读的形式，带领学生进一步体会藏戏独特的艺术魅力。</w:t>
            </w:r>
          </w:p>
        </w:tc>
        <w:tc>
          <w:tcPr>
            <w:tcW w:w="1276" w:type="dxa"/>
          </w:tcPr>
          <w:p w14:paraId="1D529F2B">
            <w:pPr>
              <w:spacing w:line="360" w:lineRule="auto"/>
              <w:jc w:val="left"/>
              <w:rPr>
                <w:rFonts w:ascii="宋体" w:hAnsi="宋体"/>
                <w:b/>
                <w:bCs/>
                <w:color w:val="000000" w:themeColor="text1"/>
                <w:sz w:val="24"/>
                <w14:textFill>
                  <w14:solidFill>
                    <w14:schemeClr w14:val="tx1"/>
                  </w14:solidFill>
                </w14:textFill>
              </w:rPr>
            </w:pPr>
          </w:p>
          <w:p w14:paraId="05B103D3">
            <w:pPr>
              <w:spacing w:line="360" w:lineRule="auto"/>
              <w:jc w:val="left"/>
              <w:rPr>
                <w:rFonts w:ascii="宋体" w:hAnsi="宋体"/>
                <w:b/>
                <w:bCs/>
                <w:color w:val="000000" w:themeColor="text1"/>
                <w:sz w:val="24"/>
                <w14:textFill>
                  <w14:solidFill>
                    <w14:schemeClr w14:val="tx1"/>
                  </w14:solidFill>
                </w14:textFill>
              </w:rPr>
            </w:pPr>
          </w:p>
          <w:p w14:paraId="72EC68E7">
            <w:pPr>
              <w:spacing w:line="360" w:lineRule="auto"/>
              <w:jc w:val="left"/>
              <w:rPr>
                <w:rFonts w:ascii="宋体" w:hAnsi="宋体"/>
                <w:b/>
                <w:bCs/>
                <w:color w:val="000000" w:themeColor="text1"/>
                <w:sz w:val="24"/>
                <w14:textFill>
                  <w14:solidFill>
                    <w14:schemeClr w14:val="tx1"/>
                  </w14:solidFill>
                </w14:textFill>
              </w:rPr>
            </w:pPr>
          </w:p>
          <w:p w14:paraId="7281490C">
            <w:pPr>
              <w:spacing w:line="360" w:lineRule="auto"/>
              <w:jc w:val="left"/>
              <w:rPr>
                <w:rFonts w:ascii="宋体" w:hAnsi="宋体"/>
                <w:b/>
                <w:bCs/>
                <w:color w:val="000000" w:themeColor="text1"/>
                <w:sz w:val="24"/>
                <w14:textFill>
                  <w14:solidFill>
                    <w14:schemeClr w14:val="tx1"/>
                  </w14:solidFill>
                </w14:textFill>
              </w:rPr>
            </w:pPr>
          </w:p>
          <w:p w14:paraId="64DC372F">
            <w:pPr>
              <w:spacing w:line="360" w:lineRule="auto"/>
              <w:jc w:val="left"/>
              <w:rPr>
                <w:rFonts w:ascii="宋体" w:hAnsi="宋体"/>
                <w:b/>
                <w:bCs/>
                <w:color w:val="000000" w:themeColor="text1"/>
                <w:sz w:val="24"/>
                <w14:textFill>
                  <w14:solidFill>
                    <w14:schemeClr w14:val="tx1"/>
                  </w14:solidFill>
                </w14:textFill>
              </w:rPr>
            </w:pPr>
          </w:p>
          <w:p w14:paraId="6F3E0094">
            <w:pPr>
              <w:spacing w:line="360" w:lineRule="auto"/>
              <w:jc w:val="left"/>
              <w:rPr>
                <w:rFonts w:ascii="宋体" w:hAnsi="宋体"/>
                <w:b/>
                <w:bCs/>
                <w:color w:val="000000" w:themeColor="text1"/>
                <w:sz w:val="24"/>
                <w14:textFill>
                  <w14:solidFill>
                    <w14:schemeClr w14:val="tx1"/>
                  </w14:solidFill>
                </w14:textFill>
              </w:rPr>
            </w:pPr>
          </w:p>
          <w:p w14:paraId="38A92D4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D3B761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通过直观的图片和视频，富有感染力的语言介绍，激发学生了解中国地方戏特别是藏戏的浓厚兴趣和主动学习课文的欲望。</w:t>
            </w:r>
          </w:p>
          <w:p w14:paraId="7D2DC351">
            <w:pPr>
              <w:spacing w:line="360" w:lineRule="auto"/>
              <w:jc w:val="left"/>
              <w:rPr>
                <w:rFonts w:ascii="宋体" w:hAnsi="宋体"/>
                <w:b/>
                <w:bCs/>
                <w:color w:val="000000" w:themeColor="text1"/>
                <w:sz w:val="24"/>
                <w14:textFill>
                  <w14:solidFill>
                    <w14:schemeClr w14:val="tx1"/>
                  </w14:solidFill>
                </w14:textFill>
              </w:rPr>
            </w:pPr>
          </w:p>
          <w:p w14:paraId="5FAAE366">
            <w:pPr>
              <w:spacing w:line="360" w:lineRule="auto"/>
              <w:jc w:val="left"/>
              <w:rPr>
                <w:rFonts w:ascii="宋体" w:hAnsi="宋体"/>
                <w:b/>
                <w:bCs/>
                <w:color w:val="000000" w:themeColor="text1"/>
                <w:sz w:val="24"/>
                <w14:textFill>
                  <w14:solidFill>
                    <w14:schemeClr w14:val="tx1"/>
                  </w14:solidFill>
                </w14:textFill>
              </w:rPr>
            </w:pPr>
          </w:p>
          <w:p w14:paraId="39E2AC54">
            <w:pPr>
              <w:spacing w:line="360" w:lineRule="auto"/>
              <w:jc w:val="left"/>
              <w:rPr>
                <w:rFonts w:ascii="宋体" w:hAnsi="宋体"/>
                <w:b/>
                <w:bCs/>
                <w:color w:val="000000" w:themeColor="text1"/>
                <w:sz w:val="24"/>
                <w14:textFill>
                  <w14:solidFill>
                    <w14:schemeClr w14:val="tx1"/>
                  </w14:solidFill>
                </w14:textFill>
              </w:rPr>
            </w:pPr>
          </w:p>
          <w:p w14:paraId="47F9D80D">
            <w:pPr>
              <w:spacing w:line="360" w:lineRule="auto"/>
              <w:jc w:val="left"/>
              <w:rPr>
                <w:rFonts w:ascii="宋体" w:hAnsi="宋体"/>
                <w:b/>
                <w:bCs/>
                <w:color w:val="000000" w:themeColor="text1"/>
                <w:sz w:val="24"/>
                <w14:textFill>
                  <w14:solidFill>
                    <w14:schemeClr w14:val="tx1"/>
                  </w14:solidFill>
                </w14:textFill>
              </w:rPr>
            </w:pPr>
          </w:p>
          <w:p w14:paraId="56E233C7">
            <w:pPr>
              <w:spacing w:line="360" w:lineRule="auto"/>
              <w:jc w:val="left"/>
              <w:rPr>
                <w:rFonts w:ascii="宋体" w:hAnsi="宋体"/>
                <w:b/>
                <w:bCs/>
                <w:color w:val="000000" w:themeColor="text1"/>
                <w:sz w:val="24"/>
                <w14:textFill>
                  <w14:solidFill>
                    <w14:schemeClr w14:val="tx1"/>
                  </w14:solidFill>
                </w14:textFill>
              </w:rPr>
            </w:pPr>
          </w:p>
          <w:p w14:paraId="3EE936F4">
            <w:pPr>
              <w:spacing w:line="360" w:lineRule="auto"/>
              <w:jc w:val="left"/>
              <w:rPr>
                <w:rFonts w:ascii="宋体" w:hAnsi="宋体"/>
                <w:b/>
                <w:bCs/>
                <w:color w:val="000000" w:themeColor="text1"/>
                <w:sz w:val="24"/>
                <w14:textFill>
                  <w14:solidFill>
                    <w14:schemeClr w14:val="tx1"/>
                  </w14:solidFill>
                </w14:textFill>
              </w:rPr>
            </w:pPr>
          </w:p>
          <w:p w14:paraId="13EE0A6E">
            <w:pPr>
              <w:spacing w:line="360" w:lineRule="auto"/>
              <w:jc w:val="left"/>
              <w:rPr>
                <w:rFonts w:ascii="宋体" w:hAnsi="宋体"/>
                <w:b/>
                <w:bCs/>
                <w:color w:val="000000" w:themeColor="text1"/>
                <w:sz w:val="24"/>
                <w14:textFill>
                  <w14:solidFill>
                    <w14:schemeClr w14:val="tx1"/>
                  </w14:solidFill>
                </w14:textFill>
              </w:rPr>
            </w:pPr>
          </w:p>
          <w:p w14:paraId="2E12E4FF">
            <w:pPr>
              <w:spacing w:line="360" w:lineRule="auto"/>
              <w:jc w:val="left"/>
              <w:rPr>
                <w:rFonts w:ascii="宋体" w:hAnsi="宋体"/>
                <w:b/>
                <w:bCs/>
                <w:color w:val="000000" w:themeColor="text1"/>
                <w:sz w:val="24"/>
                <w14:textFill>
                  <w14:solidFill>
                    <w14:schemeClr w14:val="tx1"/>
                  </w14:solidFill>
                </w14:textFill>
              </w:rPr>
            </w:pPr>
          </w:p>
          <w:p w14:paraId="25E7C59B">
            <w:pPr>
              <w:spacing w:line="360" w:lineRule="auto"/>
              <w:jc w:val="left"/>
              <w:rPr>
                <w:rFonts w:ascii="宋体" w:hAnsi="宋体"/>
                <w:b/>
                <w:bCs/>
                <w:color w:val="000000" w:themeColor="text1"/>
                <w:sz w:val="24"/>
                <w14:textFill>
                  <w14:solidFill>
                    <w14:schemeClr w14:val="tx1"/>
                  </w14:solidFill>
                </w14:textFill>
              </w:rPr>
            </w:pPr>
          </w:p>
          <w:p w14:paraId="4794A346">
            <w:pPr>
              <w:spacing w:line="360" w:lineRule="auto"/>
              <w:jc w:val="left"/>
              <w:rPr>
                <w:rFonts w:ascii="宋体" w:hAnsi="宋体"/>
                <w:b/>
                <w:bCs/>
                <w:color w:val="000000" w:themeColor="text1"/>
                <w:sz w:val="24"/>
                <w14:textFill>
                  <w14:solidFill>
                    <w14:schemeClr w14:val="tx1"/>
                  </w14:solidFill>
                </w14:textFill>
              </w:rPr>
            </w:pPr>
          </w:p>
          <w:p w14:paraId="2C4897B6">
            <w:pPr>
              <w:spacing w:line="360" w:lineRule="auto"/>
              <w:jc w:val="left"/>
              <w:rPr>
                <w:rFonts w:ascii="宋体" w:hAnsi="宋体"/>
                <w:b/>
                <w:bCs/>
                <w:color w:val="000000" w:themeColor="text1"/>
                <w:sz w:val="24"/>
                <w14:textFill>
                  <w14:solidFill>
                    <w14:schemeClr w14:val="tx1"/>
                  </w14:solidFill>
                </w14:textFill>
              </w:rPr>
            </w:pPr>
          </w:p>
          <w:p w14:paraId="77F0EE71">
            <w:pPr>
              <w:spacing w:line="360" w:lineRule="auto"/>
              <w:jc w:val="left"/>
              <w:rPr>
                <w:rFonts w:ascii="宋体" w:hAnsi="宋体"/>
                <w:b/>
                <w:bCs/>
                <w:color w:val="000000" w:themeColor="text1"/>
                <w:sz w:val="24"/>
                <w14:textFill>
                  <w14:solidFill>
                    <w14:schemeClr w14:val="tx1"/>
                  </w14:solidFill>
                </w14:textFill>
              </w:rPr>
            </w:pPr>
          </w:p>
          <w:p w14:paraId="70F8504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12C6493">
            <w:pPr>
              <w:spacing w:line="360" w:lineRule="auto"/>
              <w:jc w:val="left"/>
              <w:rPr>
                <w:rFonts w:ascii="宋体" w:hAnsi="宋体"/>
                <w:b/>
                <w:bCs/>
                <w:color w:val="000000" w:themeColor="text1"/>
                <w:sz w:val="24"/>
                <w14:textFill>
                  <w14:solidFill>
                    <w14:schemeClr w14:val="tx1"/>
                  </w14:solidFill>
                </w14:textFill>
              </w:rPr>
            </w:pPr>
            <w:r>
              <w:rPr>
                <w:rFonts w:hAnsi="宋体"/>
                <w:sz w:val="24"/>
              </w:rPr>
              <w:t>将词语放到课文的具体语境中去理解，同时又回归具体语境来运用这些词，既梳理了课文内容，又使学生真正掌握了这些词语，体现了从文本中来到文本中去的教学思路。同时，以学习单为抓手，通过让学生速读文本，相互交流，感知课文的大概内容，理清文章脉络，初步了解作者详略搭配的写作思路，紧扣单元语文要素。</w:t>
            </w:r>
          </w:p>
          <w:p w14:paraId="1F1B1879">
            <w:pPr>
              <w:spacing w:line="360" w:lineRule="auto"/>
              <w:jc w:val="left"/>
              <w:rPr>
                <w:rFonts w:ascii="宋体" w:hAnsi="宋体"/>
                <w:b/>
                <w:bCs/>
                <w:color w:val="000000" w:themeColor="text1"/>
                <w:sz w:val="24"/>
                <w14:textFill>
                  <w14:solidFill>
                    <w14:schemeClr w14:val="tx1"/>
                  </w14:solidFill>
                </w14:textFill>
              </w:rPr>
            </w:pPr>
          </w:p>
          <w:p w14:paraId="6D868EDB">
            <w:pPr>
              <w:spacing w:line="360" w:lineRule="auto"/>
              <w:jc w:val="left"/>
              <w:rPr>
                <w:rFonts w:ascii="宋体" w:hAnsi="宋体"/>
                <w:b/>
                <w:bCs/>
                <w:color w:val="000000" w:themeColor="text1"/>
                <w:sz w:val="24"/>
                <w14:textFill>
                  <w14:solidFill>
                    <w14:schemeClr w14:val="tx1"/>
                  </w14:solidFill>
                </w14:textFill>
              </w:rPr>
            </w:pPr>
          </w:p>
          <w:p w14:paraId="5E23560A">
            <w:pPr>
              <w:spacing w:line="360" w:lineRule="auto"/>
              <w:jc w:val="left"/>
              <w:rPr>
                <w:rFonts w:ascii="宋体" w:hAnsi="宋体"/>
                <w:b/>
                <w:bCs/>
                <w:color w:val="000000" w:themeColor="text1"/>
                <w:sz w:val="24"/>
                <w14:textFill>
                  <w14:solidFill>
                    <w14:schemeClr w14:val="tx1"/>
                  </w14:solidFill>
                </w14:textFill>
              </w:rPr>
            </w:pPr>
          </w:p>
          <w:p w14:paraId="0CA8A437">
            <w:pPr>
              <w:spacing w:line="360" w:lineRule="auto"/>
              <w:jc w:val="left"/>
              <w:rPr>
                <w:rFonts w:ascii="宋体" w:hAnsi="宋体"/>
                <w:b/>
                <w:bCs/>
                <w:color w:val="000000" w:themeColor="text1"/>
                <w:sz w:val="24"/>
                <w14:textFill>
                  <w14:solidFill>
                    <w14:schemeClr w14:val="tx1"/>
                  </w14:solidFill>
                </w14:textFill>
              </w:rPr>
            </w:pPr>
          </w:p>
          <w:p w14:paraId="3CB078A5">
            <w:pPr>
              <w:spacing w:line="360" w:lineRule="auto"/>
              <w:jc w:val="left"/>
              <w:rPr>
                <w:rFonts w:ascii="宋体" w:hAnsi="宋体"/>
                <w:b/>
                <w:bCs/>
                <w:color w:val="000000" w:themeColor="text1"/>
                <w:sz w:val="24"/>
                <w14:textFill>
                  <w14:solidFill>
                    <w14:schemeClr w14:val="tx1"/>
                  </w14:solidFill>
                </w14:textFill>
              </w:rPr>
            </w:pPr>
          </w:p>
          <w:p w14:paraId="5911214A">
            <w:pPr>
              <w:spacing w:line="360" w:lineRule="auto"/>
              <w:jc w:val="left"/>
              <w:rPr>
                <w:rFonts w:ascii="宋体" w:hAnsi="宋体"/>
                <w:b/>
                <w:bCs/>
                <w:color w:val="000000" w:themeColor="text1"/>
                <w:sz w:val="24"/>
                <w14:textFill>
                  <w14:solidFill>
                    <w14:schemeClr w14:val="tx1"/>
                  </w14:solidFill>
                </w14:textFill>
              </w:rPr>
            </w:pPr>
          </w:p>
          <w:p w14:paraId="0136FB70">
            <w:pPr>
              <w:spacing w:line="360" w:lineRule="auto"/>
              <w:jc w:val="left"/>
              <w:rPr>
                <w:rFonts w:ascii="宋体" w:hAnsi="宋体"/>
                <w:b/>
                <w:bCs/>
                <w:color w:val="000000" w:themeColor="text1"/>
                <w:sz w:val="24"/>
                <w14:textFill>
                  <w14:solidFill>
                    <w14:schemeClr w14:val="tx1"/>
                  </w14:solidFill>
                </w14:textFill>
              </w:rPr>
            </w:pPr>
          </w:p>
          <w:p w14:paraId="3558AC37">
            <w:pPr>
              <w:spacing w:line="360" w:lineRule="auto"/>
              <w:jc w:val="left"/>
              <w:rPr>
                <w:rFonts w:ascii="宋体" w:hAnsi="宋体"/>
                <w:b/>
                <w:bCs/>
                <w:color w:val="000000" w:themeColor="text1"/>
                <w:sz w:val="24"/>
                <w14:textFill>
                  <w14:solidFill>
                    <w14:schemeClr w14:val="tx1"/>
                  </w14:solidFill>
                </w14:textFill>
              </w:rPr>
            </w:pPr>
          </w:p>
          <w:p w14:paraId="25D37A1F">
            <w:pPr>
              <w:spacing w:line="360" w:lineRule="auto"/>
              <w:jc w:val="left"/>
              <w:rPr>
                <w:rFonts w:ascii="宋体" w:hAnsi="宋体"/>
                <w:b/>
                <w:bCs/>
                <w:color w:val="000000" w:themeColor="text1"/>
                <w:sz w:val="24"/>
                <w14:textFill>
                  <w14:solidFill>
                    <w14:schemeClr w14:val="tx1"/>
                  </w14:solidFill>
                </w14:textFill>
              </w:rPr>
            </w:pPr>
          </w:p>
          <w:p w14:paraId="3D00C8D2">
            <w:pPr>
              <w:spacing w:line="360" w:lineRule="auto"/>
              <w:jc w:val="left"/>
              <w:rPr>
                <w:rFonts w:ascii="宋体" w:hAnsi="宋体"/>
                <w:b/>
                <w:bCs/>
                <w:color w:val="000000" w:themeColor="text1"/>
                <w:sz w:val="24"/>
                <w14:textFill>
                  <w14:solidFill>
                    <w14:schemeClr w14:val="tx1"/>
                  </w14:solidFill>
                </w14:textFill>
              </w:rPr>
            </w:pPr>
          </w:p>
          <w:p w14:paraId="62250268">
            <w:pPr>
              <w:spacing w:line="360" w:lineRule="auto"/>
              <w:jc w:val="left"/>
              <w:rPr>
                <w:rFonts w:ascii="宋体" w:hAnsi="宋体"/>
                <w:b/>
                <w:bCs/>
                <w:color w:val="000000" w:themeColor="text1"/>
                <w:sz w:val="24"/>
                <w14:textFill>
                  <w14:solidFill>
                    <w14:schemeClr w14:val="tx1"/>
                  </w14:solidFill>
                </w14:textFill>
              </w:rPr>
            </w:pPr>
          </w:p>
          <w:p w14:paraId="40DA3755">
            <w:pPr>
              <w:spacing w:line="360" w:lineRule="auto"/>
              <w:jc w:val="left"/>
              <w:rPr>
                <w:rFonts w:ascii="宋体" w:hAnsi="宋体"/>
                <w:b/>
                <w:bCs/>
                <w:color w:val="000000" w:themeColor="text1"/>
                <w:sz w:val="24"/>
                <w14:textFill>
                  <w14:solidFill>
                    <w14:schemeClr w14:val="tx1"/>
                  </w14:solidFill>
                </w14:textFill>
              </w:rPr>
            </w:pPr>
          </w:p>
          <w:p w14:paraId="0E8992C5">
            <w:pPr>
              <w:spacing w:line="360" w:lineRule="auto"/>
              <w:jc w:val="left"/>
              <w:rPr>
                <w:rFonts w:ascii="宋体" w:hAnsi="宋体"/>
                <w:b/>
                <w:bCs/>
                <w:color w:val="000000" w:themeColor="text1"/>
                <w:sz w:val="24"/>
                <w14:textFill>
                  <w14:solidFill>
                    <w14:schemeClr w14:val="tx1"/>
                  </w14:solidFill>
                </w14:textFill>
              </w:rPr>
            </w:pPr>
          </w:p>
          <w:p w14:paraId="4ED04FB4">
            <w:pPr>
              <w:spacing w:line="360" w:lineRule="auto"/>
              <w:jc w:val="left"/>
              <w:rPr>
                <w:rFonts w:ascii="宋体" w:hAnsi="宋体"/>
                <w:b/>
                <w:bCs/>
                <w:color w:val="000000" w:themeColor="text1"/>
                <w:sz w:val="24"/>
                <w14:textFill>
                  <w14:solidFill>
                    <w14:schemeClr w14:val="tx1"/>
                  </w14:solidFill>
                </w14:textFill>
              </w:rPr>
            </w:pPr>
          </w:p>
          <w:p w14:paraId="288E98D0">
            <w:pPr>
              <w:spacing w:line="360" w:lineRule="auto"/>
              <w:jc w:val="left"/>
              <w:rPr>
                <w:rFonts w:ascii="宋体" w:hAnsi="宋体"/>
                <w:b/>
                <w:bCs/>
                <w:color w:val="000000" w:themeColor="text1"/>
                <w:sz w:val="24"/>
                <w14:textFill>
                  <w14:solidFill>
                    <w14:schemeClr w14:val="tx1"/>
                  </w14:solidFill>
                </w14:textFill>
              </w:rPr>
            </w:pPr>
          </w:p>
          <w:p w14:paraId="01893709">
            <w:pPr>
              <w:spacing w:line="360" w:lineRule="auto"/>
              <w:jc w:val="left"/>
              <w:rPr>
                <w:rFonts w:ascii="宋体" w:hAnsi="宋体"/>
                <w:b/>
                <w:bCs/>
                <w:color w:val="000000" w:themeColor="text1"/>
                <w:sz w:val="24"/>
                <w14:textFill>
                  <w14:solidFill>
                    <w14:schemeClr w14:val="tx1"/>
                  </w14:solidFill>
                </w14:textFill>
              </w:rPr>
            </w:pPr>
          </w:p>
          <w:p w14:paraId="08111516">
            <w:pPr>
              <w:spacing w:line="360" w:lineRule="auto"/>
              <w:jc w:val="left"/>
              <w:rPr>
                <w:rFonts w:ascii="宋体" w:hAnsi="宋体"/>
                <w:b/>
                <w:bCs/>
                <w:color w:val="000000" w:themeColor="text1"/>
                <w:sz w:val="24"/>
                <w14:textFill>
                  <w14:solidFill>
                    <w14:schemeClr w14:val="tx1"/>
                  </w14:solidFill>
                </w14:textFill>
              </w:rPr>
            </w:pPr>
          </w:p>
          <w:p w14:paraId="1262A50B">
            <w:pPr>
              <w:spacing w:line="360" w:lineRule="auto"/>
              <w:jc w:val="left"/>
              <w:rPr>
                <w:rFonts w:ascii="宋体" w:hAnsi="宋体"/>
                <w:b/>
                <w:bCs/>
                <w:color w:val="000000" w:themeColor="text1"/>
                <w:sz w:val="24"/>
                <w14:textFill>
                  <w14:solidFill>
                    <w14:schemeClr w14:val="tx1"/>
                  </w14:solidFill>
                </w14:textFill>
              </w:rPr>
            </w:pPr>
          </w:p>
          <w:p w14:paraId="6D6250E0">
            <w:pPr>
              <w:spacing w:line="360" w:lineRule="auto"/>
              <w:jc w:val="left"/>
              <w:rPr>
                <w:rFonts w:ascii="宋体" w:hAnsi="宋体"/>
                <w:b/>
                <w:bCs/>
                <w:color w:val="000000" w:themeColor="text1"/>
                <w:sz w:val="24"/>
                <w14:textFill>
                  <w14:solidFill>
                    <w14:schemeClr w14:val="tx1"/>
                  </w14:solidFill>
                </w14:textFill>
              </w:rPr>
            </w:pPr>
          </w:p>
          <w:p w14:paraId="6FC59A92">
            <w:pPr>
              <w:spacing w:line="360" w:lineRule="auto"/>
              <w:jc w:val="left"/>
              <w:rPr>
                <w:rFonts w:ascii="宋体" w:hAnsi="宋体"/>
                <w:b/>
                <w:bCs/>
                <w:color w:val="000000" w:themeColor="text1"/>
                <w:sz w:val="24"/>
                <w14:textFill>
                  <w14:solidFill>
                    <w14:schemeClr w14:val="tx1"/>
                  </w14:solidFill>
                </w14:textFill>
              </w:rPr>
            </w:pPr>
          </w:p>
          <w:p w14:paraId="0AC7B892">
            <w:pPr>
              <w:spacing w:line="360" w:lineRule="auto"/>
              <w:jc w:val="left"/>
              <w:rPr>
                <w:rFonts w:ascii="宋体" w:hAnsi="宋体"/>
                <w:b/>
                <w:bCs/>
                <w:color w:val="000000" w:themeColor="text1"/>
                <w:sz w:val="24"/>
                <w14:textFill>
                  <w14:solidFill>
                    <w14:schemeClr w14:val="tx1"/>
                  </w14:solidFill>
                </w14:textFill>
              </w:rPr>
            </w:pPr>
          </w:p>
          <w:p w14:paraId="2B007150">
            <w:pPr>
              <w:spacing w:line="360" w:lineRule="auto"/>
              <w:jc w:val="left"/>
              <w:rPr>
                <w:rFonts w:ascii="宋体" w:hAnsi="宋体"/>
                <w:b/>
                <w:bCs/>
                <w:color w:val="000000" w:themeColor="text1"/>
                <w:sz w:val="24"/>
                <w14:textFill>
                  <w14:solidFill>
                    <w14:schemeClr w14:val="tx1"/>
                  </w14:solidFill>
                </w14:textFill>
              </w:rPr>
            </w:pPr>
          </w:p>
          <w:p w14:paraId="4B07CD59">
            <w:pPr>
              <w:spacing w:line="360" w:lineRule="auto"/>
              <w:jc w:val="left"/>
              <w:rPr>
                <w:rFonts w:ascii="宋体" w:hAnsi="宋体"/>
                <w:b/>
                <w:bCs/>
                <w:color w:val="000000" w:themeColor="text1"/>
                <w:sz w:val="24"/>
                <w14:textFill>
                  <w14:solidFill>
                    <w14:schemeClr w14:val="tx1"/>
                  </w14:solidFill>
                </w14:textFill>
              </w:rPr>
            </w:pPr>
          </w:p>
          <w:p w14:paraId="055DAD85">
            <w:pPr>
              <w:spacing w:line="360" w:lineRule="auto"/>
              <w:jc w:val="left"/>
              <w:rPr>
                <w:rFonts w:ascii="宋体" w:hAnsi="宋体"/>
                <w:b/>
                <w:bCs/>
                <w:color w:val="000000" w:themeColor="text1"/>
                <w:sz w:val="24"/>
                <w14:textFill>
                  <w14:solidFill>
                    <w14:schemeClr w14:val="tx1"/>
                  </w14:solidFill>
                </w14:textFill>
              </w:rPr>
            </w:pPr>
          </w:p>
          <w:p w14:paraId="75D68727">
            <w:pPr>
              <w:spacing w:line="360" w:lineRule="auto"/>
              <w:jc w:val="left"/>
              <w:rPr>
                <w:rFonts w:ascii="宋体" w:hAnsi="宋体"/>
                <w:b/>
                <w:bCs/>
                <w:color w:val="000000" w:themeColor="text1"/>
                <w:sz w:val="24"/>
                <w14:textFill>
                  <w14:solidFill>
                    <w14:schemeClr w14:val="tx1"/>
                  </w14:solidFill>
                </w14:textFill>
              </w:rPr>
            </w:pPr>
          </w:p>
          <w:p w14:paraId="420BDA14">
            <w:pPr>
              <w:spacing w:line="360" w:lineRule="auto"/>
              <w:jc w:val="left"/>
              <w:rPr>
                <w:rFonts w:ascii="宋体" w:hAnsi="宋体"/>
                <w:b/>
                <w:bCs/>
                <w:color w:val="000000" w:themeColor="text1"/>
                <w:sz w:val="24"/>
                <w14:textFill>
                  <w14:solidFill>
                    <w14:schemeClr w14:val="tx1"/>
                  </w14:solidFill>
                </w14:textFill>
              </w:rPr>
            </w:pPr>
          </w:p>
          <w:p w14:paraId="5BBA154B">
            <w:pPr>
              <w:spacing w:line="360" w:lineRule="auto"/>
              <w:jc w:val="left"/>
              <w:rPr>
                <w:rFonts w:ascii="宋体" w:hAnsi="宋体"/>
                <w:b/>
                <w:bCs/>
                <w:color w:val="000000" w:themeColor="text1"/>
                <w:sz w:val="24"/>
                <w14:textFill>
                  <w14:solidFill>
                    <w14:schemeClr w14:val="tx1"/>
                  </w14:solidFill>
                </w14:textFill>
              </w:rPr>
            </w:pPr>
          </w:p>
          <w:p w14:paraId="0CCFCAE5">
            <w:pPr>
              <w:spacing w:line="360" w:lineRule="auto"/>
              <w:jc w:val="left"/>
              <w:rPr>
                <w:rFonts w:ascii="宋体" w:hAnsi="宋体"/>
                <w:b/>
                <w:bCs/>
                <w:color w:val="000000" w:themeColor="text1"/>
                <w:sz w:val="24"/>
                <w14:textFill>
                  <w14:solidFill>
                    <w14:schemeClr w14:val="tx1"/>
                  </w14:solidFill>
                </w14:textFill>
              </w:rPr>
            </w:pPr>
          </w:p>
          <w:p w14:paraId="1AA77535">
            <w:pPr>
              <w:spacing w:line="360" w:lineRule="auto"/>
              <w:jc w:val="left"/>
              <w:rPr>
                <w:rFonts w:ascii="宋体" w:hAnsi="宋体"/>
                <w:b/>
                <w:bCs/>
                <w:color w:val="000000" w:themeColor="text1"/>
                <w:sz w:val="24"/>
                <w14:textFill>
                  <w14:solidFill>
                    <w14:schemeClr w14:val="tx1"/>
                  </w14:solidFill>
                </w14:textFill>
              </w:rPr>
            </w:pPr>
          </w:p>
          <w:p w14:paraId="254826B5">
            <w:pPr>
              <w:spacing w:line="360" w:lineRule="auto"/>
              <w:jc w:val="left"/>
              <w:rPr>
                <w:rFonts w:ascii="宋体" w:hAnsi="宋体"/>
                <w:b/>
                <w:bCs/>
                <w:color w:val="000000" w:themeColor="text1"/>
                <w:sz w:val="24"/>
                <w14:textFill>
                  <w14:solidFill>
                    <w14:schemeClr w14:val="tx1"/>
                  </w14:solidFill>
                </w14:textFill>
              </w:rPr>
            </w:pPr>
          </w:p>
          <w:p w14:paraId="5C01A6EC">
            <w:pPr>
              <w:spacing w:line="360" w:lineRule="auto"/>
              <w:jc w:val="left"/>
              <w:rPr>
                <w:rFonts w:ascii="宋体" w:hAnsi="宋体"/>
                <w:b/>
                <w:bCs/>
                <w:color w:val="000000" w:themeColor="text1"/>
                <w:sz w:val="24"/>
                <w14:textFill>
                  <w14:solidFill>
                    <w14:schemeClr w14:val="tx1"/>
                  </w14:solidFill>
                </w14:textFill>
              </w:rPr>
            </w:pPr>
          </w:p>
          <w:p w14:paraId="466D9C47">
            <w:pPr>
              <w:spacing w:line="360" w:lineRule="auto"/>
              <w:jc w:val="left"/>
              <w:rPr>
                <w:rFonts w:ascii="宋体" w:hAnsi="宋体"/>
                <w:b/>
                <w:bCs/>
                <w:color w:val="000000" w:themeColor="text1"/>
                <w:sz w:val="24"/>
                <w14:textFill>
                  <w14:solidFill>
                    <w14:schemeClr w14:val="tx1"/>
                  </w14:solidFill>
                </w14:textFill>
              </w:rPr>
            </w:pPr>
          </w:p>
          <w:p w14:paraId="761122E3">
            <w:pPr>
              <w:spacing w:line="360" w:lineRule="auto"/>
              <w:jc w:val="left"/>
              <w:rPr>
                <w:rFonts w:ascii="宋体" w:hAnsi="宋体"/>
                <w:b/>
                <w:bCs/>
                <w:color w:val="000000" w:themeColor="text1"/>
                <w:sz w:val="24"/>
                <w14:textFill>
                  <w14:solidFill>
                    <w14:schemeClr w14:val="tx1"/>
                  </w14:solidFill>
                </w14:textFill>
              </w:rPr>
            </w:pPr>
          </w:p>
          <w:p w14:paraId="0A74492B">
            <w:pPr>
              <w:spacing w:line="360" w:lineRule="auto"/>
              <w:jc w:val="left"/>
              <w:rPr>
                <w:rFonts w:ascii="宋体" w:hAnsi="宋体"/>
                <w:b/>
                <w:bCs/>
                <w:color w:val="000000" w:themeColor="text1"/>
                <w:sz w:val="24"/>
                <w14:textFill>
                  <w14:solidFill>
                    <w14:schemeClr w14:val="tx1"/>
                  </w14:solidFill>
                </w14:textFill>
              </w:rPr>
            </w:pPr>
          </w:p>
          <w:p w14:paraId="2A279CE9">
            <w:pPr>
              <w:spacing w:line="360" w:lineRule="auto"/>
              <w:jc w:val="left"/>
              <w:rPr>
                <w:rFonts w:ascii="宋体" w:hAnsi="宋体"/>
                <w:b/>
                <w:bCs/>
                <w:color w:val="000000" w:themeColor="text1"/>
                <w:sz w:val="24"/>
                <w14:textFill>
                  <w14:solidFill>
                    <w14:schemeClr w14:val="tx1"/>
                  </w14:solidFill>
                </w14:textFill>
              </w:rPr>
            </w:pPr>
          </w:p>
          <w:p w14:paraId="4CBB6984">
            <w:pPr>
              <w:spacing w:line="360" w:lineRule="auto"/>
              <w:jc w:val="left"/>
              <w:rPr>
                <w:rFonts w:ascii="宋体" w:hAnsi="宋体"/>
                <w:b/>
                <w:bCs/>
                <w:color w:val="000000" w:themeColor="text1"/>
                <w:sz w:val="24"/>
                <w14:textFill>
                  <w14:solidFill>
                    <w14:schemeClr w14:val="tx1"/>
                  </w14:solidFill>
                </w14:textFill>
              </w:rPr>
            </w:pPr>
          </w:p>
          <w:p w14:paraId="4CCBC2B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FFAF267">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Ansi="宋体"/>
                <w:sz w:val="24"/>
              </w:rPr>
              <w:t>将课文的前三个自然段和第8～17自然段对比教学，通过小组合作完成课中导学单，师生合作朗读的形式引导学生了解藏戏的具体特点，感受作者前后呼应的写作手法。同时也抓住了文章重点，进一步引导学生体会文章详略安排的妙处。另外，鉴于学生对藏戏相对陌生，因此以他们较为熟悉的京剧脸谱来引导学生类比感受藏戏的面具，从而激发学生的阅读兴趣</w:t>
            </w:r>
            <w:r>
              <w:rPr>
                <w:rFonts w:hint="eastAsia" w:ascii="宋体" w:hAnsi="宋体"/>
                <w:color w:val="000000" w:themeColor="text1"/>
                <w:sz w:val="24"/>
                <w14:textFill>
                  <w14:solidFill>
                    <w14:schemeClr w14:val="tx1"/>
                  </w14:solidFill>
                </w14:textFill>
              </w:rPr>
              <w:t>。</w:t>
            </w:r>
          </w:p>
          <w:p w14:paraId="19322B2B">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34AECA9E">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309FD981">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7F67F5FD">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5254D9BA">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1C31A74A">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37EB78E2">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5F893604">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2DEA0EF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74D1FEE">
            <w:pPr>
              <w:spacing w:line="360" w:lineRule="auto"/>
              <w:ind w:firstLine="480" w:firstLineChars="200"/>
              <w:jc w:val="left"/>
              <w:rPr>
                <w:rFonts w:hAnsi="宋体"/>
                <w:sz w:val="24"/>
              </w:rPr>
            </w:pPr>
            <w:r>
              <w:rPr>
                <w:rFonts w:hint="eastAsia" w:hAnsi="宋体"/>
                <w:sz w:val="24"/>
              </w:rPr>
              <w:t xml:space="preserve">在自主研读中，引导学生把握藏戏的形成过程，了解藏戏开山鼻祖唐东杰布的人物形象和精神品质，同时进一步感受藏戏所折射出的少数民族风情和地域文化特色，以及其中所蕴含的独特艺术魅力。 </w:t>
            </w:r>
          </w:p>
          <w:p w14:paraId="34CEAD27">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77D573C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2C7857D">
            <w:pPr>
              <w:pStyle w:val="2"/>
              <w:spacing w:line="360" w:lineRule="auto"/>
              <w:ind w:firstLine="480" w:firstLineChars="200"/>
              <w:jc w:val="left"/>
              <w:rPr>
                <w:rFonts w:hAnsi="宋体" w:cs="Times New Roman"/>
                <w:sz w:val="24"/>
                <w:szCs w:val="24"/>
              </w:rPr>
            </w:pPr>
            <w:r>
              <w:rPr>
                <w:rFonts w:hAnsi="宋体" w:cs="Times New Roman"/>
                <w:sz w:val="24"/>
                <w:szCs w:val="24"/>
              </w:rPr>
              <w:t>以藏戏为立脚点，作戏曲知识的延伸，丰富学生对中国传统戏曲的认识，感受传统戏曲的魅力，从而弘扬中华优秀传统文化。</w:t>
            </w:r>
          </w:p>
          <w:p w14:paraId="4B58F157">
            <w:pPr>
              <w:spacing w:line="360" w:lineRule="auto"/>
              <w:ind w:firstLine="482" w:firstLineChars="200"/>
              <w:jc w:val="left"/>
              <w:rPr>
                <w:rFonts w:ascii="宋体" w:hAnsi="宋体"/>
                <w:b/>
                <w:bCs/>
                <w:color w:val="000000" w:themeColor="text1"/>
                <w:sz w:val="24"/>
                <w14:textFill>
                  <w14:solidFill>
                    <w14:schemeClr w14:val="tx1"/>
                  </w14:solidFill>
                </w14:textFill>
              </w:rPr>
            </w:pPr>
          </w:p>
        </w:tc>
      </w:tr>
    </w:tbl>
    <w:p w14:paraId="6B13CCF1">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A706C">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390C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E752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F8AB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C925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4113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E2C3E"/>
    <w:rsid w:val="000F5EF0"/>
    <w:rsid w:val="00110413"/>
    <w:rsid w:val="00122666"/>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4274A"/>
    <w:rsid w:val="003547C9"/>
    <w:rsid w:val="00354D88"/>
    <w:rsid w:val="0037365D"/>
    <w:rsid w:val="003A2A4D"/>
    <w:rsid w:val="003C73DB"/>
    <w:rsid w:val="003D68A3"/>
    <w:rsid w:val="00432DCC"/>
    <w:rsid w:val="00440945"/>
    <w:rsid w:val="004564E8"/>
    <w:rsid w:val="004577C3"/>
    <w:rsid w:val="00474269"/>
    <w:rsid w:val="0049563E"/>
    <w:rsid w:val="004D228C"/>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2D4B"/>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C1F5A"/>
    <w:rsid w:val="00800F94"/>
    <w:rsid w:val="00873C30"/>
    <w:rsid w:val="008757EE"/>
    <w:rsid w:val="0089438F"/>
    <w:rsid w:val="008A4222"/>
    <w:rsid w:val="008D1EB0"/>
    <w:rsid w:val="008D331F"/>
    <w:rsid w:val="008E66A4"/>
    <w:rsid w:val="008F0849"/>
    <w:rsid w:val="00904098"/>
    <w:rsid w:val="009069F7"/>
    <w:rsid w:val="00943955"/>
    <w:rsid w:val="009725B8"/>
    <w:rsid w:val="00981668"/>
    <w:rsid w:val="00991460"/>
    <w:rsid w:val="009B227A"/>
    <w:rsid w:val="009B2BD3"/>
    <w:rsid w:val="009D23AB"/>
    <w:rsid w:val="009F23AF"/>
    <w:rsid w:val="009F4ADF"/>
    <w:rsid w:val="00A25372"/>
    <w:rsid w:val="00A57641"/>
    <w:rsid w:val="00A732BC"/>
    <w:rsid w:val="00AE2664"/>
    <w:rsid w:val="00AE6572"/>
    <w:rsid w:val="00B10AB3"/>
    <w:rsid w:val="00B11F10"/>
    <w:rsid w:val="00B16002"/>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A11E9"/>
    <w:rsid w:val="00CC59CA"/>
    <w:rsid w:val="00CE5883"/>
    <w:rsid w:val="00CF1753"/>
    <w:rsid w:val="00CF5058"/>
    <w:rsid w:val="00D16338"/>
    <w:rsid w:val="00D53454"/>
    <w:rsid w:val="00D61F59"/>
    <w:rsid w:val="00D879B1"/>
    <w:rsid w:val="00DB0863"/>
    <w:rsid w:val="00E37108"/>
    <w:rsid w:val="00E53C99"/>
    <w:rsid w:val="00E62E65"/>
    <w:rsid w:val="00EC3594"/>
    <w:rsid w:val="00EC61C9"/>
    <w:rsid w:val="00ED3984"/>
    <w:rsid w:val="00F075B8"/>
    <w:rsid w:val="00F1077E"/>
    <w:rsid w:val="00F1701A"/>
    <w:rsid w:val="00F26CEB"/>
    <w:rsid w:val="00F417E8"/>
    <w:rsid w:val="00F709C3"/>
    <w:rsid w:val="00FB7E3D"/>
    <w:rsid w:val="00FC44DB"/>
    <w:rsid w:val="00FC484D"/>
    <w:rsid w:val="00FE3AA3"/>
    <w:rsid w:val="1A995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qFormat/>
    <w:uiPriority w:val="99"/>
    <w:rPr>
      <w:kern w:val="2"/>
      <w:sz w:val="18"/>
      <w:szCs w:val="18"/>
    </w:rPr>
  </w:style>
  <w:style w:type="character" w:customStyle="1" w:styleId="11">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5409</Words>
  <Characters>5445</Characters>
  <Lines>40</Lines>
  <Paragraphs>11</Paragraphs>
  <TotalTime>196</TotalTime>
  <ScaleCrop>false</ScaleCrop>
  <LinksUpToDate>false</LinksUpToDate>
  <CharactersWithSpaces>5510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2022-11-18T10:12:00Z</dcterms:created>
  <dc:creator>微软用户</dc:creator>
  <cp:lastModifiedBy>上帝掷骰子吗</cp:lastModifiedBy>
  <dcterms:modified xsi:type="dcterms:W3CDTF">2025-07-30T14:24:12Z</dcterms:modified>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8DBD93783B604342A4BFDD747FCF66E3_12</vt:lpwstr>
  </property>
</Properties>
</file>